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36"/>
          <w:szCs w:val="36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 xml:space="preserve">Парадигмальный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Ноября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2025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Сдано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07.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.2025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20:20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21:3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Онлайн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/>
        </w:rPr>
      </w:pPr>
      <w:r>
        <w:rPr>
          <w:rFonts w:ascii="Times New Roman" w:hAnsi="Times New Roman" w:hint="default"/>
          <w:b w:val="1"/>
          <w:b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Учавствовали</w:t>
      </w:r>
      <w:r>
        <w:rPr>
          <w:rFonts w:ascii="Times New Roman" w:hAnsi="Times New Roman"/>
          <w:b w:val="1"/>
          <w:bCs w:val="1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глава Парадигмального Совета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Валентина Адонкина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Ирина Толмачёва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Гульсюм Вильмс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8.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9.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Любовь Дель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Татьяна Элиассон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Посвящённая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учебная практика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ffffff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>T</w:t>
      </w:r>
      <w:r>
        <w:rPr>
          <w:rFonts w:ascii="Times New Roman" w:hAnsi="Times New Roman" w:hint="default"/>
          <w:b w:val="1"/>
          <w:bCs w:val="1"/>
          <w:sz w:val="30"/>
          <w:szCs w:val="30"/>
          <w:u w:color="ffffff"/>
          <w:rtl w:val="0"/>
          <w:lang w:val="ru-RU"/>
        </w:rPr>
        <w:t>ема</w:t>
      </w:r>
      <w:r>
        <w:rPr>
          <w:rFonts w:ascii="Times New Roman" w:hAnsi="Times New Roman"/>
          <w:b w:val="1"/>
          <w:bCs w:val="1"/>
          <w:sz w:val="30"/>
          <w:szCs w:val="30"/>
          <w:u w:color="ffffff"/>
          <w:rtl w:val="0"/>
          <w:lang w:val="ru-RU"/>
        </w:rPr>
        <w:t>:</w:t>
      </w:r>
      <w:r>
        <w:rPr>
          <w:rFonts w:ascii="Times New Roman" w:hAnsi="Times New Roman"/>
          <w:sz w:val="26"/>
          <w:szCs w:val="26"/>
          <w:u w:color="ffffff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sz w:val="26"/>
          <w:szCs w:val="26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1.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Парадигмальность ДП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ru-RU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.</w:t>
      </w:r>
      <w:r>
        <w:rPr>
          <w:rFonts w:ascii="Times New Roman" w:hAnsi="Times New Roman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Тренинг в зале в здании Высшей ИВДИВО</w:t>
      </w:r>
      <w:r>
        <w:rPr>
          <w:rFonts w:ascii="Times New Roman" w:hAnsi="Times New Roman"/>
          <w:u w:color="ffffff"/>
          <w:rtl w:val="0"/>
          <w:lang w:val="ru-RU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космической Синтез</w:t>
      </w:r>
      <w:r>
        <w:rPr>
          <w:rFonts w:ascii="Times New Roman" w:hAnsi="Times New Roman"/>
          <w:u w:color="ffffff"/>
          <w:rtl w:val="0"/>
          <w:lang w:val="ru-RU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Академии Парадигмы Философии Стратагемии ИВО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ru-RU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.</w:t>
      </w:r>
      <w:r>
        <w:rPr>
          <w:rFonts w:ascii="Times New Roman" w:hAnsi="Times New Roman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Стяжание эталонной Парадигмальной системы координат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Состоялись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.1, 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Реальность Отца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она не стоит стабильно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всё время меняется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Меняем ее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том числе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как клеточки Отца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С нашим Авось мы постоянно являемся источником нового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Отец всемогущ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я немощен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это сразу отчуждённость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Собственная связка как результат того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мы сами сложили и синтезировали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— В формировании какого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дела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вызова у нас начинается поиск связок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Если это не по Стандарту Отца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нас связок не будет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16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Парадигмальных оснований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каждое из них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отдельный процесс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отдельный закон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Воля Отца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каждое из них неисповедимо и уникально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— Часто мы не можем выйти из тупика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у нас нет цели куда переходить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— С помощью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16-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рицы Парадигмальных оснований выявляем в себе наш концепт процессов и явлений в ИВДИВО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процессов и явлений в подразделениях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процессов и явлений в организациях ДП Служения и парадигмально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философско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стратагемический концепт индивидуального возрастания каждого из нас как кадровой единицы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состоялись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.3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Решением команды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еренесён на следующий Парадигмальный Совет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Для глубокого вхождения и развёртки темы с дальнейшим вхождением в тренинг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стяжение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Согласовано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Аватаресса ИВО ИВДИВО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космической Синтез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Академии </w:t>
      </w: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Парадигмы Философии Стратагемии ИВО ИВАС Иосифа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протокольного и цивилизационного синтеза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